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Verdana" w:cs="Verdana" w:eastAsia="Verdana" w:hAnsi="Verdana"/>
          <w:b w:val="1"/>
          <w:sz w:val="20"/>
          <w:szCs w:val="20"/>
        </w:rPr>
      </w:pPr>
      <w:bookmarkStart w:colFirst="0" w:colLast="0" w:name="_heading=h.gjdgxs" w:id="0"/>
      <w:bookmarkEnd w:id="0"/>
      <w:r w:rsidDel="00000000" w:rsidR="00000000" w:rsidRPr="00000000">
        <w:rPr>
          <w:rFonts w:ascii="Verdana" w:cs="Verdana" w:eastAsia="Verdana" w:hAnsi="Verdana"/>
          <w:b w:val="1"/>
          <w:sz w:val="20"/>
          <w:szCs w:val="20"/>
          <w:rtl w:val="0"/>
        </w:rPr>
        <w:t xml:space="preserve">Jaarplan 2022 - 2023</w:t>
      </w:r>
    </w:p>
    <w:p w:rsidR="00000000" w:rsidDel="00000000" w:rsidP="00000000" w:rsidRDefault="00000000" w:rsidRPr="00000000" w14:paraId="00000002">
      <w:pPr>
        <w:spacing w:after="24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Leden MR</w:t>
      </w:r>
    </w:p>
    <w:tbl>
      <w:tblPr>
        <w:tblStyle w:val="Table1"/>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3"/>
        <w:gridCol w:w="4533"/>
        <w:tblGridChange w:id="0">
          <w:tblGrid>
            <w:gridCol w:w="4533"/>
            <w:gridCol w:w="4533"/>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Personeelsgeleding:</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Oudergeleding: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Ellen de Rooij (voorzitter)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Maaike Mollema (secretaris)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Diana Landsmark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Saskia Stoker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Mans van der Heide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Joost Berden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Stephanie Gouma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Lisette van Elk</w:t>
            </w:r>
          </w:p>
        </w:tc>
      </w:tr>
    </w:tbl>
    <w:p w:rsidR="00000000" w:rsidDel="00000000" w:rsidP="00000000" w:rsidRDefault="00000000" w:rsidRPr="00000000" w14:paraId="0000000E">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Speerpunten MR OBS Steigereiland</w:t>
      </w:r>
    </w:p>
    <w:p w:rsidR="00000000" w:rsidDel="00000000" w:rsidP="00000000" w:rsidRDefault="00000000" w:rsidRPr="00000000" w14:paraId="0000000F">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Hieronder samengevat het voorstel voor de invulling van de MR werkzaamheden voor schooljaar 2022/2023. Allereerst de inhoudelijke speerpunten, en daarna de reguliere werkzaamheden.</w:t>
      </w:r>
    </w:p>
    <w:p w:rsidR="00000000" w:rsidDel="00000000" w:rsidP="00000000" w:rsidRDefault="00000000" w:rsidRPr="00000000" w14:paraId="00000010">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Mede door dit document willen wij ons controleerbaar maken voor de achterban met een duidelijke inhoudelijke lijn; uitgangspunt daarbij is altijd goede communicatie naar school en ouders, per punt zal bekeken worden hoe we daar waar nodig extra aandacht aan geven. Ook daartoe dient het vaststellen en op de website bekendmaken van dit voorstel.</w:t>
      </w:r>
    </w:p>
    <w:p w:rsidR="00000000" w:rsidDel="00000000" w:rsidP="00000000" w:rsidRDefault="00000000" w:rsidRPr="00000000" w14:paraId="00000011">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Missie</w:t>
      </w:r>
    </w:p>
    <w:p w:rsidR="00000000" w:rsidDel="00000000" w:rsidP="00000000" w:rsidRDefault="00000000" w:rsidRPr="00000000" w14:paraId="00000012">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MR heeft als missie om de belangen te behartigen van leerlingen, ouders en medewerkers bij de besluitvorming over het schoolbeleid</w:t>
      </w:r>
    </w:p>
    <w:p w:rsidR="00000000" w:rsidDel="00000000" w:rsidP="00000000" w:rsidRDefault="00000000" w:rsidRPr="00000000" w14:paraId="00000013">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Visie</w:t>
      </w:r>
    </w:p>
    <w:p w:rsidR="00000000" w:rsidDel="00000000" w:rsidP="00000000" w:rsidRDefault="00000000" w:rsidRPr="00000000" w14:paraId="00000014">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De MR bevordert openheid naar en onderling overleg tussen school en ouders. De wijze van communicatie wordt afgestemd en aangepast al naar gelang de situatie.</w:t>
      </w:r>
      <w:r w:rsidDel="00000000" w:rsidR="00000000" w:rsidRPr="00000000">
        <w:rPr>
          <w:rtl w:val="0"/>
        </w:rPr>
      </w:r>
    </w:p>
    <w:p w:rsidR="00000000" w:rsidDel="00000000" w:rsidP="00000000" w:rsidRDefault="00000000" w:rsidRPr="00000000" w14:paraId="00000015">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Inhoudelijke Speerpunten MR 2022/2022</w:t>
      </w:r>
    </w:p>
    <w:p w:rsidR="00000000" w:rsidDel="00000000" w:rsidP="00000000" w:rsidRDefault="00000000" w:rsidRPr="00000000" w14:paraId="00000016">
      <w:pPr>
        <w:spacing w:line="240"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t>
      </w:r>
      <w:r w:rsidDel="00000000" w:rsidR="00000000" w:rsidRPr="00000000">
        <w:rPr>
          <w:rFonts w:ascii="Verdana" w:cs="Verdana" w:eastAsia="Verdana" w:hAnsi="Verdana"/>
          <w:sz w:val="20"/>
          <w:szCs w:val="20"/>
          <w:u w:val="single"/>
          <w:rtl w:val="0"/>
        </w:rPr>
        <w:t xml:space="preserve">Lerarentekort</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Het lerarentekort is een groot en groeiend probleem en blijft de komende jaren naar verwachting onverminderd groot. Ook op OBS Steigereiland is dit probleem voelbaar. </w:t>
      </w:r>
      <w:r w:rsidDel="00000000" w:rsidR="00000000" w:rsidRPr="00000000">
        <w:rPr>
          <w:rFonts w:ascii="Verdana" w:cs="Verdana" w:eastAsia="Verdana" w:hAnsi="Verdana"/>
          <w:sz w:val="20"/>
          <w:szCs w:val="20"/>
          <w:rtl w:val="0"/>
        </w:rPr>
        <w:t xml:space="preserve">Hoe houden we de school aantrekkelijk voor zittende en voor nieuwe leerkrachten? Hoe behouden wij onze huidige leerkrachten? Hoe kunnen wij het onderwijs anders organiseren, welke innovatieve organisatievormen kunnen we op gang brengen?  </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19">
      <w:pPr>
        <w:spacing w:line="240"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t>
      </w:r>
      <w:r w:rsidDel="00000000" w:rsidR="00000000" w:rsidRPr="00000000">
        <w:rPr>
          <w:rFonts w:ascii="Verdana" w:cs="Verdana" w:eastAsia="Verdana" w:hAnsi="Verdana"/>
          <w:sz w:val="20"/>
          <w:szCs w:val="20"/>
          <w:u w:val="single"/>
          <w:rtl w:val="0"/>
        </w:rPr>
        <w:t xml:space="preserve">Duurzaamheid</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Wij vinden het belangrijk om ook op school voldoende aandacht te geven aan het onderwerp duurzaamheid: “alles wat aandacht krijgt groeit!” Hoe kunnen wij het gebouw nog duurzamer maken? Hoe kunnen wij in de klas de duurzaamheid vergroten? Hoe kunnen wij bij de kinderen het bewustzijn vergroten van het belang van duurzaamheid? </w:t>
      </w:r>
    </w:p>
    <w:p w:rsidR="00000000" w:rsidDel="00000000" w:rsidP="00000000" w:rsidRDefault="00000000" w:rsidRPr="00000000" w14:paraId="0000001B">
      <w:pPr>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spacing w:line="240" w:lineRule="auto"/>
        <w:ind w:left="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t>
      </w:r>
      <w:r w:rsidDel="00000000" w:rsidR="00000000" w:rsidRPr="00000000">
        <w:rPr>
          <w:rFonts w:ascii="Verdana" w:cs="Verdana" w:eastAsia="Verdana" w:hAnsi="Verdana"/>
          <w:sz w:val="20"/>
          <w:szCs w:val="20"/>
          <w:u w:val="single"/>
          <w:rtl w:val="0"/>
        </w:rPr>
        <w:t xml:space="preserve">Inclusie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Hoe zorgen wij ervoor dat alle kinderen dezelfde kansen krijgen bij ons op school? Hoe zorgen wij ervoor dat ieder kind zijn eigen talent kan ontwikkelen en zich gezien voelt bij ons op school? </w:t>
      </w:r>
    </w:p>
    <w:p w:rsidR="00000000" w:rsidDel="00000000" w:rsidP="00000000" w:rsidRDefault="00000000" w:rsidRPr="00000000" w14:paraId="0000001E">
      <w:pPr>
        <w:spacing w:after="240" w:before="24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Overwegingen en verantwoording keuzes</w:t>
      </w:r>
    </w:p>
    <w:p w:rsidR="00000000" w:rsidDel="00000000" w:rsidP="00000000" w:rsidRDefault="00000000" w:rsidRPr="00000000" w14:paraId="0000001F">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Basistaak van de MR is openheid en het bevorderen van onderling overleg. We hebben bekeken wat op dit moment belangrijke (structurele) onderwerpen zijn om de aandacht op te houden. Dat heeft geleid tot de drie speerpunten. Daar willen wij met de directie aandacht aan besteden, met name door structurele aandacht in de vergaderingen daarvoor.</w:t>
      </w:r>
    </w:p>
    <w:p w:rsidR="00000000" w:rsidDel="00000000" w:rsidP="00000000" w:rsidRDefault="00000000" w:rsidRPr="00000000" w14:paraId="00000020">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Voorlopige jaarkalender MR:</w:t>
      </w:r>
    </w:p>
    <w:p w:rsidR="00000000" w:rsidDel="00000000" w:rsidP="00000000" w:rsidRDefault="00000000" w:rsidRPr="00000000" w14:paraId="00000021">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vergaderingen zijn ongeveer om de zes weken, een week voor de GMR</w:t>
      </w:r>
    </w:p>
    <w:p w:rsidR="00000000" w:rsidDel="00000000" w:rsidP="00000000" w:rsidRDefault="00000000" w:rsidRPr="00000000" w14:paraId="00000022">
      <w:pPr>
        <w:numPr>
          <w:ilvl w:val="0"/>
          <w:numId w:val="1"/>
        </w:numPr>
        <w:spacing w:after="0" w:afterAutospacing="0" w:befor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Jaarverslag/kwaliteitsmonitor: februari 2023</w:t>
      </w:r>
    </w:p>
    <w:p w:rsidR="00000000" w:rsidDel="00000000" w:rsidP="00000000" w:rsidRDefault="00000000" w:rsidRPr="00000000" w14:paraId="00000023">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Begroting: februari 2023</w:t>
      </w:r>
    </w:p>
    <w:p w:rsidR="00000000" w:rsidDel="00000000" w:rsidP="00000000" w:rsidRDefault="00000000" w:rsidRPr="00000000" w14:paraId="00000024">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Evaluatie NPO: februari 2023</w:t>
      </w:r>
    </w:p>
    <w:p w:rsidR="00000000" w:rsidDel="00000000" w:rsidP="00000000" w:rsidRDefault="00000000" w:rsidRPr="00000000" w14:paraId="00000025">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Afrekening TSO: maart 2023</w:t>
      </w:r>
    </w:p>
    <w:p w:rsidR="00000000" w:rsidDel="00000000" w:rsidP="00000000" w:rsidRDefault="00000000" w:rsidRPr="00000000" w14:paraId="00000026">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Hoogte TSO bijdrage: april 2023</w:t>
      </w:r>
    </w:p>
    <w:p w:rsidR="00000000" w:rsidDel="00000000" w:rsidP="00000000" w:rsidRDefault="00000000" w:rsidRPr="00000000" w14:paraId="00000027">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Goedkeuring besteding / begroting / hoogte Ouderbijdrage:  april 2023</w:t>
      </w:r>
    </w:p>
    <w:p w:rsidR="00000000" w:rsidDel="00000000" w:rsidP="00000000" w:rsidRDefault="00000000" w:rsidRPr="00000000" w14:paraId="00000028">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Formatie: mei 2023</w:t>
      </w:r>
    </w:p>
    <w:p w:rsidR="00000000" w:rsidDel="00000000" w:rsidP="00000000" w:rsidRDefault="00000000" w:rsidRPr="00000000" w14:paraId="00000029">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Zittingstermijn leden MR: mei 2023</w:t>
      </w:r>
    </w:p>
    <w:p w:rsidR="00000000" w:rsidDel="00000000" w:rsidP="00000000" w:rsidRDefault="00000000" w:rsidRPr="00000000" w14:paraId="0000002A">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Vakantieregeling 2021/2022:  mei 2023</w:t>
      </w:r>
    </w:p>
    <w:p w:rsidR="00000000" w:rsidDel="00000000" w:rsidP="00000000" w:rsidRDefault="00000000" w:rsidRPr="00000000" w14:paraId="0000002B">
      <w:pPr>
        <w:numPr>
          <w:ilvl w:val="0"/>
          <w:numId w:val="1"/>
        </w:numPr>
        <w:spacing w:after="0" w:afterAutospacing="0" w:before="0" w:beforeAutospacing="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Schoolgids: mei 2023</w:t>
      </w:r>
    </w:p>
    <w:p w:rsidR="00000000" w:rsidDel="00000000" w:rsidP="00000000" w:rsidRDefault="00000000" w:rsidRPr="00000000" w14:paraId="0000002C">
      <w:pPr>
        <w:numPr>
          <w:ilvl w:val="0"/>
          <w:numId w:val="1"/>
        </w:numPr>
        <w:spacing w:after="240" w:before="0" w:beforeAutospacing="0" w:lineRule="auto"/>
        <w:ind w:left="720" w:hanging="360"/>
        <w:rPr>
          <w:rFonts w:ascii="Verdana" w:cs="Verdana" w:eastAsia="Verdana" w:hAnsi="Verdana"/>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Evaluatie NPO: Juni 2023</w:t>
      </w:r>
      <w:r w:rsidDel="00000000" w:rsidR="00000000" w:rsidRPr="00000000">
        <w:rPr>
          <w:rtl w:val="0"/>
        </w:rPr>
      </w:r>
    </w:p>
    <w:p w:rsidR="00000000" w:rsidDel="00000000" w:rsidP="00000000" w:rsidRDefault="00000000" w:rsidRPr="00000000" w14:paraId="0000002D">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Procedurele uitgangspunten</w:t>
      </w:r>
    </w:p>
    <w:p w:rsidR="00000000" w:rsidDel="00000000" w:rsidP="00000000" w:rsidRDefault="00000000" w:rsidRPr="00000000" w14:paraId="0000002E">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 MR kan ook los van directie samenkomen om input voor en standpunt over de agenda vast te stellen. Daarnaast (en meestal daarop volgend) hebben wij overleg met de directie. Het contact is uitstekend en dat houden wij zo.</w:t>
      </w:r>
    </w:p>
    <w:p w:rsidR="00000000" w:rsidDel="00000000" w:rsidP="00000000" w:rsidRDefault="00000000" w:rsidRPr="00000000" w14:paraId="0000002F">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We leggen in notulen vast wat de oordelen (instemming/niet instemming) dan wel het advies van de MR of de geledingen daarin was inzake de agendapunten.</w:t>
      </w:r>
    </w:p>
    <w:p w:rsidR="00000000" w:rsidDel="00000000" w:rsidP="00000000" w:rsidRDefault="00000000" w:rsidRPr="00000000" w14:paraId="00000030">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Als de geledingen in de MR over onderwerpen van mening verschillen</w:t>
      </w:r>
      <w:r w:rsidDel="00000000" w:rsidR="00000000" w:rsidRPr="00000000">
        <w:rPr>
          <w:rFonts w:ascii="Verdana" w:cs="Verdana" w:eastAsia="Verdana" w:hAnsi="Verdana"/>
          <w:sz w:val="34"/>
          <w:szCs w:val="34"/>
          <w:vertAlign w:val="superscript"/>
          <w:rtl w:val="0"/>
        </w:rPr>
        <w:t xml:space="preserve">[1]</w:t>
      </w:r>
      <w:r w:rsidDel="00000000" w:rsidR="00000000" w:rsidRPr="00000000">
        <w:rPr>
          <w:rFonts w:ascii="Verdana" w:cs="Verdana" w:eastAsia="Verdana" w:hAnsi="Verdana"/>
          <w:sz w:val="20"/>
          <w:szCs w:val="20"/>
          <w:rtl w:val="0"/>
        </w:rPr>
        <w:t xml:space="preserve">, streven we ernaar tot overeenstemming te komen, maar mocht dit niet lukken dan zal de MR vanuit dit gegeven toch zoveel mogelijk in gezamenlijkheid naar buiten treden</w:t>
      </w:r>
      <w:r w:rsidDel="00000000" w:rsidR="00000000" w:rsidRPr="00000000">
        <w:rPr>
          <w:rFonts w:ascii="Verdana" w:cs="Verdana" w:eastAsia="Verdana" w:hAnsi="Verdana"/>
          <w:sz w:val="34"/>
          <w:szCs w:val="34"/>
          <w:vertAlign w:val="superscript"/>
          <w:rtl w:val="0"/>
        </w:rPr>
        <w:t xml:space="preserve">[2]</w:t>
      </w:r>
      <w:r w:rsidDel="00000000" w:rsidR="00000000" w:rsidRPr="00000000">
        <w:rPr>
          <w:rFonts w:ascii="Verdana" w:cs="Verdana" w:eastAsia="Verdana" w:hAnsi="Verdana"/>
          <w:sz w:val="20"/>
          <w:szCs w:val="20"/>
          <w:rtl w:val="0"/>
        </w:rPr>
        <w:t xml:space="preserve">. Over de zaken waarover alleen ouder- of alleen personeelsgeleding instemmingsrecht heeft wordt ook de andere geleding geïnformeerd, zodat de MR steeds als geheel kan optreden. Wel blijft het voor een efficiënte werkverdeling van belang om de onderlinge bevoegdheden steeds helder te hebben.</w:t>
      </w:r>
    </w:p>
    <w:p w:rsidR="00000000" w:rsidDel="00000000" w:rsidP="00000000" w:rsidRDefault="00000000" w:rsidRPr="00000000" w14:paraId="00000031">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2">
      <w:pPr>
        <w:spacing w:after="24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Vaste informatie van de MR</w:t>
      </w:r>
    </w:p>
    <w:p w:rsidR="00000000" w:rsidDel="00000000" w:rsidP="00000000" w:rsidRDefault="00000000" w:rsidRPr="00000000" w14:paraId="00000033">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Aan de hand van de informatieplicht van de directie komt er in elk geval een vast aantal onderwerpen op de agenda, waarbij we deze mede aan de hand van onze speerpunten zullen beoordelen. We kunnen dat aantal onderwerpen zelf op verzoek uitbreiden, met name als het gaat om onderwerpen waarover we advies- en/of instemmingsrecht hebben en waaraan we extra aandacht willen besteden. Voor het overige zal een onderwerp meestal naar gelang van noodzaak door de directie aan ons worden voorgelegd. Tenslotte kunnen wij onze eigen onderwerpen agenderen.</w:t>
      </w:r>
    </w:p>
    <w:p w:rsidR="00000000" w:rsidDel="00000000" w:rsidP="00000000" w:rsidRDefault="00000000" w:rsidRPr="00000000" w14:paraId="00000034">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Vaste onderwerpen:</w:t>
      </w:r>
    </w:p>
    <w:p w:rsidR="00000000" w:rsidDel="00000000" w:rsidP="00000000" w:rsidRDefault="00000000" w:rsidRPr="00000000" w14:paraId="00000035">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de gegevens met betrekking tot de samenstelling van het bevoegd gezag, de organisatie binnen de school, het managementstatuut en de hoofdpunten van het reeds vastgestelde beleid (begin van het schooljaar, schriftelijk)</w:t>
      </w:r>
    </w:p>
    <w:p w:rsidR="00000000" w:rsidDel="00000000" w:rsidP="00000000" w:rsidRDefault="00000000" w:rsidRPr="00000000" w14:paraId="00000036">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begroting en bijbehorende beleidsvoornemens op financieel, organisatorisch en onderwijskundig gebied (jaarlijks)</w:t>
      </w:r>
    </w:p>
    <w:p w:rsidR="00000000" w:rsidDel="00000000" w:rsidP="00000000" w:rsidRDefault="00000000" w:rsidRPr="00000000" w14:paraId="00000037">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informatie over de berekening die ten grondslag ligt aan de middelen uit 's Rijks kas die worden toegerekend aan het bevoegd gezag (voor 1 mei)</w:t>
      </w:r>
    </w:p>
    <w:p w:rsidR="00000000" w:rsidDel="00000000" w:rsidP="00000000" w:rsidRDefault="00000000" w:rsidRPr="00000000" w14:paraId="00000038">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een jaarverslag met bestuursverslag en jaarrekening (voor 1 juli)</w:t>
      </w:r>
    </w:p>
    <w:p w:rsidR="00000000" w:rsidDel="00000000" w:rsidP="00000000" w:rsidRDefault="00000000" w:rsidRPr="00000000" w14:paraId="00000039">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Managementstatuut (de uitgangspunten die het bevoegd gezag hanteert bij de uitoefening van zijn bevoegdheden)</w:t>
      </w:r>
    </w:p>
    <w:p w:rsidR="00000000" w:rsidDel="00000000" w:rsidP="00000000" w:rsidRDefault="00000000" w:rsidRPr="00000000" w14:paraId="0000003A">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informatie over elk oordeel van de klachtencommissie, waarbij de commissie een klacht gegrond heeft geoordeeld, en over de eventuele maatregelen die het bevoegd gezag naar aanleiding van dat oordeel zal nemen (terstond)</w:t>
      </w:r>
    </w:p>
    <w:p w:rsidR="00000000" w:rsidDel="00000000" w:rsidP="00000000" w:rsidRDefault="00000000" w:rsidRPr="00000000" w14:paraId="0000003B">
      <w:pPr>
        <w:spacing w:after="240" w:before="240" w:lineRule="auto"/>
        <w:ind w:left="1040" w:hanging="520"/>
        <w:rPr>
          <w:rFonts w:ascii="Verdana" w:cs="Verdana" w:eastAsia="Verdana" w:hAnsi="Verdana"/>
          <w:sz w:val="20"/>
          <w:szCs w:val="20"/>
        </w:rPr>
      </w:pPr>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sz w:val="20"/>
          <w:szCs w:val="20"/>
          <w:rtl w:val="0"/>
        </w:rPr>
        <w:t xml:space="preserve">gegevens over de hoogte en inhoud van de arbeidsvoorwaardelijke regelingen en afspraken met het orgaan van de rechtspersoon dat is belast met het toezicht op het bevoegd gezag (tenminste eens per jaar)</w:t>
      </w:r>
    </w:p>
    <w:p w:rsidR="00000000" w:rsidDel="00000000" w:rsidP="00000000" w:rsidRDefault="00000000" w:rsidRPr="00000000" w14:paraId="0000003C">
      <w:pPr>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D">
      <w:pPr>
        <w:spacing w:after="24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E">
      <w:pPr>
        <w:spacing w:after="24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F">
      <w:pPr>
        <w:spacing w:after="240" w:befor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0">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Opsomming belangrijke onderwerpen op de agenda met de MR bevoegdheden</w:t>
      </w:r>
      <w:r w:rsidDel="00000000" w:rsidR="00000000" w:rsidRPr="00000000">
        <w:rPr>
          <w:rtl w:val="0"/>
        </w:rPr>
      </w:r>
    </w:p>
    <w:tbl>
      <w:tblPr>
        <w:tblStyle w:val="Table2"/>
        <w:tblW w:w="85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20"/>
        <w:gridCol w:w="960"/>
        <w:gridCol w:w="870"/>
        <w:tblGridChange w:id="0">
          <w:tblGrid>
            <w:gridCol w:w="6720"/>
            <w:gridCol w:w="960"/>
            <w:gridCol w:w="870"/>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1">
            <w:pPr>
              <w:spacing w:after="240" w:before="240" w:lineRule="auto"/>
              <w:ind w:left="22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Onderwerp</w:t>
            </w:r>
          </w:p>
        </w:tc>
        <w:tc>
          <w:tcPr>
            <w:tcBorders>
              <w:top w:color="000000" w:space="0" w:sz="8" w:val="single"/>
              <w:left w:color="000000" w:space="0" w:sz="0" w:val="nil"/>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2">
            <w:pPr>
              <w:spacing w:after="240" w:before="240" w:lineRule="auto"/>
              <w:ind w:left="22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w:t>
            </w:r>
          </w:p>
        </w:tc>
        <w:tc>
          <w:tcPr>
            <w:tcBorders>
              <w:top w:color="000000" w:space="0" w:sz="8" w:val="single"/>
              <w:left w:color="000000" w:space="0" w:sz="0" w:val="nil"/>
              <w:bottom w:color="000000" w:space="0" w:sz="8" w:val="single"/>
              <w:right w:color="000000" w:space="0" w:sz="8" w:val="single"/>
            </w:tcBorders>
            <w:shd w:fill="d9d9d9" w:val="clear"/>
            <w:tcMar>
              <w:top w:w="80.0" w:type="dxa"/>
              <w:left w:w="80.0" w:type="dxa"/>
              <w:bottom w:w="80.0" w:type="dxa"/>
              <w:right w:w="80.0" w:type="dxa"/>
            </w:tcMar>
          </w:tcPr>
          <w:p w:rsidR="00000000" w:rsidDel="00000000" w:rsidP="00000000" w:rsidRDefault="00000000" w:rsidRPr="00000000" w14:paraId="00000043">
            <w:pPr>
              <w:spacing w:after="240" w:before="240" w:lineRule="auto"/>
              <w:ind w:left="22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44">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 en zorgplan</w:t>
            </w:r>
          </w:p>
        </w:tc>
        <w:tc>
          <w:tcPr>
            <w:gridSpan w:val="2"/>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tcPr>
          <w:p w:rsidR="00000000" w:rsidDel="00000000" w:rsidP="00000000" w:rsidRDefault="00000000" w:rsidRPr="00000000" w14:paraId="00000045">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7">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Beleid over ondersteuning door ouders binnen school</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8">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A">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Veiligheid-, gezondheids- en welzijnsbeleid algemeen</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B">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D">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Personeelsbeleid (o.a. Arbo, nascholing, verlof etc)</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E">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F">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0">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Beleid persoonsgegevens WBP </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1">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2">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3">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Formatie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4">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5">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6">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TSO</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7">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8">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9">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Voorzieningen voor- naschoolse opvang</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A">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C">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Vakantieregeling</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D">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F">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Taakverdeling schoolleiding/ management statuut</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0">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Regeling voor MR activiteiten tbv leden</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Besteding middelen/Begroting</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8">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Beleid voorzieningen voor kinderen</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9">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A">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B">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Aanstellings- en ontslagbeleid,</w:t>
            </w:r>
          </w:p>
          <w:p w:rsidR="00000000" w:rsidDel="00000000" w:rsidP="00000000" w:rsidRDefault="00000000" w:rsidRPr="00000000" w14:paraId="0000006C">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ook van schoolleiding</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D">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F">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Bestemming/ hoogte ouderbijdrage</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0">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2">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Schoolorganisatie</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3">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5">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Nieuwbouw/verbouwing/onderhoud</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6">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Onderwijstijd</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9">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A">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B">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Schoolgids</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C">
            <w:pPr>
              <w:spacing w:after="240" w:before="240" w:lineRule="auto"/>
              <w:ind w:left="2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D">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E">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Prestaties /opbrengsten Leerlingen aan de hand van jaarverslag</w:t>
            </w:r>
          </w:p>
          <w:p w:rsidR="00000000" w:rsidDel="00000000" w:rsidP="00000000" w:rsidRDefault="00000000" w:rsidRPr="00000000" w14:paraId="0000007F">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Kwaliteitsmonitor</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0">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2">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Prestatie/kwaliteit bevordering personeel oa na- en bijscholing</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3">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IR</w:t>
            </w:r>
          </w:p>
        </w:tc>
        <w:tc>
          <w:tcPr>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4">
            <w:pPr>
              <w:spacing w:after="240" w:before="240" w:lineRule="auto"/>
              <w:ind w:left="220" w:firstLine="0"/>
              <w:rPr/>
            </w:pPr>
            <w:r w:rsidDel="00000000" w:rsidR="00000000" w:rsidRPr="00000000">
              <w:rPr>
                <w:rtl w:val="0"/>
              </w:rPr>
              <w:t xml:space="preserve"> </w:t>
            </w:r>
          </w:p>
        </w:tc>
      </w:tr>
      <w:tr>
        <w:trPr>
          <w:cantSplit w:val="0"/>
          <w:trHeight w:val="4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5">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Toelatingsbeleid kinderen</w:t>
            </w:r>
          </w:p>
        </w:tc>
        <w:tc>
          <w:tcPr>
            <w:gridSpan w:val="2"/>
            <w:tcBorders>
              <w:top w:color="000000" w:space="0" w:sz="0" w:val="nil"/>
              <w:left w:color="000000" w:space="0" w:sz="0" w:val="nil"/>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6">
            <w:pPr>
              <w:spacing w:after="240" w:before="240" w:lineRule="auto"/>
              <w:ind w:left="2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w:t>
            </w:r>
          </w:p>
        </w:tc>
      </w:tr>
    </w:tbl>
    <w:p w:rsidR="00000000" w:rsidDel="00000000" w:rsidP="00000000" w:rsidRDefault="00000000" w:rsidRPr="00000000" w14:paraId="00000088">
      <w:pPr>
        <w:spacing w:after="240" w:before="240" w:lineRule="auto"/>
        <w:ind w:left="200" w:hanging="100"/>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spacing w:after="240" w:before="240" w:lineRule="auto"/>
        <w:rPr>
          <w:sz w:val="18"/>
          <w:szCs w:val="18"/>
        </w:rPr>
      </w:pPr>
      <w:r w:rsidDel="00000000" w:rsidR="00000000" w:rsidRPr="00000000">
        <w:rPr>
          <w:rFonts w:ascii="Verdana" w:cs="Verdana" w:eastAsia="Verdana" w:hAnsi="Verdana"/>
          <w:sz w:val="34"/>
          <w:szCs w:val="34"/>
          <w:vertAlign w:val="superscript"/>
          <w:rtl w:val="0"/>
        </w:rPr>
        <w:t xml:space="preserve">[1]</w:t>
      </w:r>
      <w:r w:rsidDel="00000000" w:rsidR="00000000" w:rsidRPr="00000000">
        <w:rPr>
          <w:sz w:val="18"/>
          <w:szCs w:val="18"/>
          <w:rtl w:val="0"/>
        </w:rPr>
        <w:t xml:space="preserve"> In sommige gevallen verschillen de bevoegdheden ook.</w:t>
      </w:r>
    </w:p>
    <w:p w:rsidR="00000000" w:rsidDel="00000000" w:rsidP="00000000" w:rsidRDefault="00000000" w:rsidRPr="00000000" w14:paraId="0000008C">
      <w:pPr>
        <w:spacing w:after="240" w:before="240" w:lineRule="auto"/>
        <w:rPr>
          <w:sz w:val="18"/>
          <w:szCs w:val="18"/>
        </w:rPr>
      </w:pPr>
      <w:r w:rsidDel="00000000" w:rsidR="00000000" w:rsidRPr="00000000">
        <w:rPr>
          <w:rFonts w:ascii="Verdana" w:cs="Verdana" w:eastAsia="Verdana" w:hAnsi="Verdana"/>
          <w:sz w:val="34"/>
          <w:szCs w:val="34"/>
          <w:vertAlign w:val="superscript"/>
          <w:rtl w:val="0"/>
        </w:rPr>
        <w:t xml:space="preserve">[2]</w:t>
      </w:r>
      <w:r w:rsidDel="00000000" w:rsidR="00000000" w:rsidRPr="00000000">
        <w:rPr>
          <w:sz w:val="18"/>
          <w:szCs w:val="18"/>
          <w:rtl w:val="0"/>
        </w:rPr>
        <w:t xml:space="preserve"> “Agree to disagree”; in sommige gevallen zullen belangen van ouders en personeel anders zijn.</w:t>
      </w:r>
    </w:p>
    <w:p w:rsidR="00000000" w:rsidDel="00000000" w:rsidP="00000000" w:rsidRDefault="00000000" w:rsidRPr="00000000" w14:paraId="0000008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tcPr>
      <w:shd w:color="auto" w:fill="ceddeb"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tcPr>
      <w:shd w:fill="ceddeb"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3irkvy0vuqWAkbwY8EMyKsEXFA==">AMUW2mUyZctT4WX21qduOl71KQHg/eEzJHswDykkKrmXyCy04DRD6V/ekyMKe6jzNYu/+gNVavJVnLk4DEKy/0giq0nN5J0RaWwpSXjK32oG4kZFYQ52oI+Ht/xTj1OZ5Gp79q5SDnsl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2022-10-19T11:40:00Z</dcterms:created>
  <dc:creator>Ellen</dc:creator>
</cp:coreProperties>
</file>