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B4" w:rsidRPr="00BF72A8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BF72A8">
        <w:rPr>
          <w:rFonts w:ascii="Arial" w:hAnsi="Arial" w:cs="Arial"/>
          <w:b/>
          <w:bCs/>
          <w:u w:val="single"/>
        </w:rPr>
        <w:t xml:space="preserve">SLO-richtlijnen voor het </w:t>
      </w:r>
      <w:proofErr w:type="spellStart"/>
      <w:r w:rsidRPr="00BF72A8">
        <w:rPr>
          <w:rFonts w:ascii="Arial" w:hAnsi="Arial" w:cs="Arial"/>
          <w:b/>
          <w:bCs/>
          <w:u w:val="single"/>
        </w:rPr>
        <w:t>compacten</w:t>
      </w:r>
      <w:proofErr w:type="spellEnd"/>
      <w:r w:rsidRPr="00BF72A8">
        <w:rPr>
          <w:rFonts w:ascii="Arial" w:hAnsi="Arial" w:cs="Arial"/>
          <w:b/>
          <w:bCs/>
          <w:u w:val="single"/>
        </w:rPr>
        <w:t xml:space="preserve"> </w:t>
      </w:r>
      <w:r w:rsidR="00BF72A8" w:rsidRPr="00BF72A8">
        <w:rPr>
          <w:rFonts w:ascii="Arial" w:hAnsi="Arial" w:cs="Arial"/>
          <w:b/>
          <w:bCs/>
          <w:u w:val="single"/>
        </w:rPr>
        <w:t xml:space="preserve">en verrijken </w:t>
      </w:r>
      <w:r w:rsidRPr="00BF72A8">
        <w:rPr>
          <w:rFonts w:ascii="Arial" w:hAnsi="Arial" w:cs="Arial"/>
          <w:b/>
          <w:bCs/>
          <w:u w:val="single"/>
        </w:rPr>
        <w:t>van de reken-wiskundemethode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b/>
          <w:bCs/>
          <w:sz w:val="24"/>
          <w:szCs w:val="24"/>
        </w:rPr>
      </w:pP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BC1559">
        <w:rPr>
          <w:rFonts w:ascii="Arial" w:hAnsi="Arial" w:cs="Arial"/>
          <w:b/>
          <w:bCs/>
          <w:sz w:val="24"/>
          <w:szCs w:val="24"/>
        </w:rPr>
        <w:t>Wat wel aanbieden?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Belangrijke stappen in het leerproces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Overgang naar formele notaties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Reflectieve activiteiten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Belangrijke strategieën en werkwijzen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Constructie-/ontdekactiviteiten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Verrijkingsstof die wezenlijk moeilijker is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Activiteiten op tempo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Introductie van een nieuw thema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b/>
          <w:bCs/>
          <w:sz w:val="24"/>
          <w:szCs w:val="24"/>
        </w:rPr>
      </w:pP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BC1559">
        <w:rPr>
          <w:rFonts w:ascii="Arial" w:hAnsi="Arial" w:cs="Arial"/>
          <w:b/>
          <w:bCs/>
          <w:sz w:val="24"/>
          <w:szCs w:val="24"/>
        </w:rPr>
        <w:t>Wat schrappen?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50% tot 75% van de oefenstof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75% tot 100% van herhaling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Verrijkingsstof die meer van hetzelfde biedt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b/>
          <w:bCs/>
          <w:sz w:val="24"/>
          <w:szCs w:val="24"/>
        </w:rPr>
      </w:pP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BC1559">
        <w:rPr>
          <w:rFonts w:ascii="Arial" w:hAnsi="Arial" w:cs="Arial"/>
          <w:b/>
          <w:bCs/>
          <w:sz w:val="24"/>
          <w:szCs w:val="24"/>
        </w:rPr>
        <w:t>Overige overwegingen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 xml:space="preserve">Bij het maken van een </w:t>
      </w:r>
      <w:proofErr w:type="spellStart"/>
      <w:r w:rsidRPr="00BC1559">
        <w:rPr>
          <w:rFonts w:ascii="Arial" w:hAnsi="Arial" w:cs="Arial"/>
          <w:sz w:val="24"/>
          <w:szCs w:val="24"/>
        </w:rPr>
        <w:t>compactingprogramma</w:t>
      </w:r>
      <w:proofErr w:type="spellEnd"/>
      <w:r w:rsidRPr="00BC1559">
        <w:rPr>
          <w:rFonts w:ascii="Arial" w:hAnsi="Arial" w:cs="Arial"/>
          <w:sz w:val="24"/>
          <w:szCs w:val="24"/>
        </w:rPr>
        <w:t xml:space="preserve"> volgens de richtlijnen spelen ook andere,</w:t>
      </w:r>
      <w:r w:rsidR="00BF72A8">
        <w:rPr>
          <w:rFonts w:ascii="Arial" w:hAnsi="Arial" w:cs="Arial"/>
          <w:sz w:val="24"/>
          <w:szCs w:val="24"/>
        </w:rPr>
        <w:t xml:space="preserve"> </w:t>
      </w:r>
      <w:r w:rsidRPr="00BC1559">
        <w:rPr>
          <w:rFonts w:ascii="Arial" w:hAnsi="Arial" w:cs="Arial"/>
          <w:sz w:val="24"/>
          <w:szCs w:val="24"/>
        </w:rPr>
        <w:t>belangrijke, niet vakinhoudelijke overwegingen mee die bepalen of iets al dan niet geschrapt</w:t>
      </w:r>
      <w:r w:rsidR="00BF72A8">
        <w:rPr>
          <w:rFonts w:ascii="Arial" w:hAnsi="Arial" w:cs="Arial"/>
          <w:sz w:val="24"/>
          <w:szCs w:val="24"/>
        </w:rPr>
        <w:t xml:space="preserve"> </w:t>
      </w:r>
      <w:r w:rsidRPr="00BC1559">
        <w:rPr>
          <w:rFonts w:ascii="Arial" w:hAnsi="Arial" w:cs="Arial"/>
          <w:sz w:val="24"/>
          <w:szCs w:val="24"/>
        </w:rPr>
        <w:t>wordt, zoals overwegingen rond de organisatie (een leerling moet niet steeds van zijn werk</w:t>
      </w:r>
      <w:r w:rsidR="00BF72A8">
        <w:rPr>
          <w:rFonts w:ascii="Arial" w:hAnsi="Arial" w:cs="Arial"/>
          <w:sz w:val="24"/>
          <w:szCs w:val="24"/>
        </w:rPr>
        <w:t xml:space="preserve"> </w:t>
      </w:r>
      <w:r w:rsidRPr="00BC1559">
        <w:rPr>
          <w:rFonts w:ascii="Arial" w:hAnsi="Arial" w:cs="Arial"/>
          <w:sz w:val="24"/>
          <w:szCs w:val="24"/>
        </w:rPr>
        <w:t>gehaald worden om weer even mee te moeten doen) of pedagogische of onderwijskundige</w:t>
      </w:r>
      <w:r w:rsidR="00BF72A8">
        <w:rPr>
          <w:rFonts w:ascii="Arial" w:hAnsi="Arial" w:cs="Arial"/>
          <w:sz w:val="24"/>
          <w:szCs w:val="24"/>
        </w:rPr>
        <w:t xml:space="preserve"> </w:t>
      </w:r>
      <w:r w:rsidRPr="00BC1559">
        <w:rPr>
          <w:rFonts w:ascii="Arial" w:hAnsi="Arial" w:cs="Arial"/>
          <w:sz w:val="24"/>
          <w:szCs w:val="24"/>
        </w:rPr>
        <w:t>overwegingen: het is goed mee te doen aan activiteiten die samen uitgevoerd worden, omdat</w:t>
      </w:r>
      <w:r w:rsidR="00BF72A8">
        <w:rPr>
          <w:rFonts w:ascii="Arial" w:hAnsi="Arial" w:cs="Arial"/>
          <w:sz w:val="24"/>
          <w:szCs w:val="24"/>
        </w:rPr>
        <w:t xml:space="preserve"> </w:t>
      </w:r>
      <w:r w:rsidRPr="00BC1559">
        <w:rPr>
          <w:rFonts w:ascii="Arial" w:hAnsi="Arial" w:cs="Arial"/>
          <w:sz w:val="24"/>
          <w:szCs w:val="24"/>
        </w:rPr>
        <w:t>samenwerken ook belangrijk is voor deze leerlingen. Soms zijn overwegingen louter</w:t>
      </w:r>
      <w:r w:rsidR="00BF72A8">
        <w:rPr>
          <w:rFonts w:ascii="Arial" w:hAnsi="Arial" w:cs="Arial"/>
          <w:sz w:val="24"/>
          <w:szCs w:val="24"/>
        </w:rPr>
        <w:t xml:space="preserve"> </w:t>
      </w:r>
      <w:r w:rsidRPr="00BC1559">
        <w:rPr>
          <w:rFonts w:ascii="Arial" w:hAnsi="Arial" w:cs="Arial"/>
          <w:sz w:val="24"/>
          <w:szCs w:val="24"/>
        </w:rPr>
        <w:t>praktisch van aard: het is niet altijd handig een bepaald percentage opgaven weg te strepen,</w:t>
      </w:r>
      <w:r w:rsidR="00BF72A8">
        <w:rPr>
          <w:rFonts w:ascii="Arial" w:hAnsi="Arial" w:cs="Arial"/>
          <w:sz w:val="24"/>
          <w:szCs w:val="24"/>
        </w:rPr>
        <w:t xml:space="preserve"> </w:t>
      </w:r>
      <w:r w:rsidRPr="00BC1559">
        <w:rPr>
          <w:rFonts w:ascii="Arial" w:hAnsi="Arial" w:cs="Arial"/>
          <w:sz w:val="24"/>
          <w:szCs w:val="24"/>
        </w:rPr>
        <w:t>door het beperkte aantal of door de vele verschillende typen sommen in een opgave. Het is</w:t>
      </w:r>
      <w:r w:rsidR="00BF72A8">
        <w:rPr>
          <w:rFonts w:ascii="Arial" w:hAnsi="Arial" w:cs="Arial"/>
          <w:sz w:val="24"/>
          <w:szCs w:val="24"/>
        </w:rPr>
        <w:t xml:space="preserve"> </w:t>
      </w:r>
      <w:r w:rsidRPr="00BC1559">
        <w:rPr>
          <w:rFonts w:ascii="Arial" w:hAnsi="Arial" w:cs="Arial"/>
          <w:sz w:val="24"/>
          <w:szCs w:val="24"/>
        </w:rPr>
        <w:t xml:space="preserve">goed om dergelijke overwegingen te betrekken in het </w:t>
      </w:r>
      <w:proofErr w:type="spellStart"/>
      <w:r w:rsidRPr="00BC1559">
        <w:rPr>
          <w:rFonts w:ascii="Arial" w:hAnsi="Arial" w:cs="Arial"/>
          <w:sz w:val="24"/>
          <w:szCs w:val="24"/>
        </w:rPr>
        <w:t>compacten</w:t>
      </w:r>
      <w:proofErr w:type="spellEnd"/>
      <w:r w:rsidRPr="00BC1559">
        <w:rPr>
          <w:rFonts w:ascii="Arial" w:hAnsi="Arial" w:cs="Arial"/>
          <w:sz w:val="24"/>
          <w:szCs w:val="24"/>
        </w:rPr>
        <w:t xml:space="preserve">. Dit maakt het </w:t>
      </w:r>
      <w:proofErr w:type="spellStart"/>
      <w:r w:rsidRPr="00BC1559">
        <w:rPr>
          <w:rFonts w:ascii="Arial" w:hAnsi="Arial" w:cs="Arial"/>
          <w:sz w:val="24"/>
          <w:szCs w:val="24"/>
        </w:rPr>
        <w:t>compactingprogramma</w:t>
      </w:r>
      <w:proofErr w:type="spellEnd"/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juist bruikbaar in de praktijk.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b/>
          <w:bCs/>
          <w:sz w:val="24"/>
          <w:szCs w:val="24"/>
        </w:rPr>
      </w:pP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BC1559">
        <w:rPr>
          <w:rFonts w:ascii="Arial" w:hAnsi="Arial" w:cs="Arial"/>
          <w:b/>
          <w:bCs/>
          <w:sz w:val="24"/>
          <w:szCs w:val="24"/>
        </w:rPr>
        <w:t>Selectie van leerlingen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Leerlingen die (bijna) alle opgaven voor minimaal 80% goed maken volgen het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proofErr w:type="spellStart"/>
      <w:r w:rsidRPr="00BC1559">
        <w:rPr>
          <w:rFonts w:ascii="Arial" w:hAnsi="Arial" w:cs="Arial"/>
          <w:sz w:val="24"/>
          <w:szCs w:val="24"/>
        </w:rPr>
        <w:t>compactingprogramma</w:t>
      </w:r>
      <w:proofErr w:type="spellEnd"/>
      <w:r w:rsidRPr="00BC1559">
        <w:rPr>
          <w:rFonts w:ascii="Arial" w:hAnsi="Arial" w:cs="Arial"/>
          <w:sz w:val="24"/>
          <w:szCs w:val="24"/>
        </w:rPr>
        <w:t>. Blijkt dat leerlingen steeds in aanmerking komen voor dit</w:t>
      </w:r>
    </w:p>
    <w:p w:rsidR="00CC06B4" w:rsidRPr="00BC1559" w:rsidRDefault="00CC06B4" w:rsidP="00A56865">
      <w:pPr>
        <w:autoSpaceDE w:val="0"/>
        <w:autoSpaceDN w:val="0"/>
        <w:adjustRightInd w:val="0"/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programma, dan hoeft u de toets niet meer vooraf af te nemen, maar laat u hen het hele</w:t>
      </w:r>
      <w:r w:rsidR="00BF72A8">
        <w:rPr>
          <w:rFonts w:ascii="Arial" w:hAnsi="Arial" w:cs="Arial"/>
          <w:sz w:val="24"/>
          <w:szCs w:val="24"/>
        </w:rPr>
        <w:t xml:space="preserve"> </w:t>
      </w:r>
      <w:r w:rsidRPr="00BC1559">
        <w:rPr>
          <w:rFonts w:ascii="Arial" w:hAnsi="Arial" w:cs="Arial"/>
          <w:sz w:val="24"/>
          <w:szCs w:val="24"/>
        </w:rPr>
        <w:t xml:space="preserve">jaar verder het </w:t>
      </w:r>
      <w:proofErr w:type="spellStart"/>
      <w:r w:rsidRPr="00BC1559">
        <w:rPr>
          <w:rFonts w:ascii="Arial" w:hAnsi="Arial" w:cs="Arial"/>
          <w:sz w:val="24"/>
          <w:szCs w:val="24"/>
        </w:rPr>
        <w:t>compactingprogramma</w:t>
      </w:r>
      <w:proofErr w:type="spellEnd"/>
      <w:r w:rsidRPr="00BC1559">
        <w:rPr>
          <w:rFonts w:ascii="Arial" w:hAnsi="Arial" w:cs="Arial"/>
          <w:sz w:val="24"/>
          <w:szCs w:val="24"/>
        </w:rPr>
        <w:t xml:space="preserve"> volgen. Ze maken de toetsen vervolgens </w:t>
      </w:r>
      <w:r w:rsidRPr="00BF72A8">
        <w:rPr>
          <w:rFonts w:ascii="Arial" w:hAnsi="Arial" w:cs="Arial"/>
          <w:sz w:val="24"/>
          <w:szCs w:val="24"/>
        </w:rPr>
        <w:t>op</w:t>
      </w:r>
      <w:r w:rsidR="00BF72A8" w:rsidRPr="00BF72A8">
        <w:rPr>
          <w:rFonts w:ascii="Arial" w:hAnsi="Arial" w:cs="Arial"/>
          <w:sz w:val="24"/>
          <w:szCs w:val="24"/>
        </w:rPr>
        <w:t xml:space="preserve"> </w:t>
      </w:r>
      <w:r w:rsidRPr="00BF72A8">
        <w:rPr>
          <w:rFonts w:ascii="Arial" w:hAnsi="Arial" w:cs="Arial"/>
          <w:sz w:val="24"/>
          <w:szCs w:val="24"/>
        </w:rPr>
        <w:t>hetzelfde moment als de overige leerlingen.</w:t>
      </w:r>
      <w:r w:rsidR="00BF72A8" w:rsidRPr="00BF72A8">
        <w:rPr>
          <w:rFonts w:ascii="Arial" w:hAnsi="Arial" w:cs="Arial"/>
          <w:sz w:val="24"/>
          <w:szCs w:val="24"/>
        </w:rPr>
        <w:t xml:space="preserve"> </w:t>
      </w:r>
      <w:r w:rsidRPr="00BF72A8">
        <w:rPr>
          <w:rFonts w:ascii="Arial" w:hAnsi="Arial" w:cs="Arial"/>
          <w:sz w:val="24"/>
          <w:szCs w:val="24"/>
        </w:rPr>
        <w:t>Geef de kinderen zelf ook verantwoordelijkheid in de keuze van wat ze meedoen/maken en</w:t>
      </w:r>
      <w:r w:rsidR="00BF72A8">
        <w:rPr>
          <w:rFonts w:ascii="Arial" w:hAnsi="Arial" w:cs="Arial"/>
          <w:sz w:val="24"/>
          <w:szCs w:val="24"/>
        </w:rPr>
        <w:t xml:space="preserve"> </w:t>
      </w:r>
      <w:r w:rsidRPr="00BF72A8">
        <w:rPr>
          <w:rFonts w:ascii="Arial" w:hAnsi="Arial" w:cs="Arial"/>
          <w:sz w:val="24"/>
          <w:szCs w:val="24"/>
        </w:rPr>
        <w:t>hoe lang/hoeveel ze meedoen/maken.</w:t>
      </w:r>
    </w:p>
    <w:p w:rsidR="00BC1559" w:rsidRDefault="00BC1559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  <w:u w:val="single"/>
        </w:rPr>
      </w:pP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  <w:u w:val="single"/>
        </w:rPr>
      </w:pPr>
      <w:r w:rsidRPr="00BC1559">
        <w:rPr>
          <w:rFonts w:ascii="Arial" w:hAnsi="Arial" w:cs="Arial"/>
          <w:sz w:val="24"/>
          <w:szCs w:val="24"/>
          <w:u w:val="single"/>
        </w:rPr>
        <w:lastRenderedPageBreak/>
        <w:t>Rekenen verrijken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Waar kun je aan denken bij het verrijken van rekenopdrachten in de me</w:t>
      </w:r>
      <w:r w:rsidR="00CC06B4" w:rsidRPr="00BC1559">
        <w:rPr>
          <w:rFonts w:ascii="Arial" w:hAnsi="Arial" w:cs="Arial"/>
          <w:sz w:val="24"/>
          <w:szCs w:val="24"/>
        </w:rPr>
        <w:t xml:space="preserve">thode of het bedenken van rijke </w:t>
      </w:r>
      <w:r w:rsidRPr="00BC1559">
        <w:rPr>
          <w:rFonts w:ascii="Arial" w:hAnsi="Arial" w:cs="Arial"/>
          <w:sz w:val="24"/>
          <w:szCs w:val="24"/>
        </w:rPr>
        <w:t>rekenopdrachten voor betere leerlingen?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De vraagstelling veranderen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- meer open, meer mogelijkheden, eigen inbreng/ervaringen,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- andere denkprocessen oproepen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De vorm aanpassen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- context, spel, schema/matrix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De complexiteit vergroten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- combineren van vraagstellingen of kennis/vaardigheid toepassen om probleem op te lossen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Verbinden met andere vakken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- werken met projecten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Vragen om eigen producties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- zelf probleem bedenken, construeren en controleren (divergent denken)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Inschakelen van metacognitie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- uitdagen tot reflectie en filosoferen en abstraheren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· Verbreden van het aanbod</w:t>
      </w:r>
    </w:p>
    <w:p w:rsidR="00DD7816" w:rsidRPr="00BC1559" w:rsidRDefault="00DD7816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  <w:r w:rsidRPr="00BC1559">
        <w:rPr>
          <w:rFonts w:ascii="Arial" w:hAnsi="Arial" w:cs="Arial"/>
          <w:sz w:val="24"/>
          <w:szCs w:val="24"/>
        </w:rPr>
        <w:t>- naar andere domeinen van wiskunde en nieuwe toepassingen van wiskunde (logisch denken/mathematisch denken)</w:t>
      </w:r>
    </w:p>
    <w:p w:rsidR="00BC1559" w:rsidRPr="00BC1559" w:rsidRDefault="00BC1559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</w:rPr>
      </w:pPr>
    </w:p>
    <w:p w:rsidR="00F82B93" w:rsidRPr="00BC1559" w:rsidRDefault="00BC1559" w:rsidP="00A56865">
      <w:pPr>
        <w:spacing w:after="0" w:line="260" w:lineRule="atLeast"/>
        <w:contextualSpacing/>
        <w:rPr>
          <w:rFonts w:ascii="Arial" w:hAnsi="Arial" w:cs="Arial"/>
          <w:sz w:val="24"/>
          <w:szCs w:val="24"/>
          <w:u w:val="single"/>
        </w:rPr>
      </w:pPr>
      <w:r w:rsidRPr="00BC1559">
        <w:rPr>
          <w:rFonts w:ascii="Arial" w:hAnsi="Arial" w:cs="Arial"/>
          <w:sz w:val="24"/>
          <w:szCs w:val="24"/>
          <w:u w:val="single"/>
        </w:rPr>
        <w:t xml:space="preserve">Taxonomie van </w:t>
      </w:r>
      <w:proofErr w:type="spellStart"/>
      <w:r w:rsidRPr="00BC1559">
        <w:rPr>
          <w:rFonts w:ascii="Arial" w:hAnsi="Arial" w:cs="Arial"/>
          <w:sz w:val="24"/>
          <w:szCs w:val="24"/>
          <w:u w:val="single"/>
        </w:rPr>
        <w:t>Bloom</w:t>
      </w:r>
      <w:proofErr w:type="spellEnd"/>
      <w:r w:rsidRPr="00BC1559">
        <w:rPr>
          <w:rFonts w:ascii="Arial" w:hAnsi="Arial" w:cs="Arial"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115DE4D5" wp14:editId="5A2088E2">
            <wp:simplePos x="0" y="0"/>
            <wp:positionH relativeFrom="column">
              <wp:posOffset>1905</wp:posOffset>
            </wp:positionH>
            <wp:positionV relativeFrom="paragraph">
              <wp:posOffset>593090</wp:posOffset>
            </wp:positionV>
            <wp:extent cx="3448050" cy="235479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5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B93" w:rsidRPr="00BC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16"/>
    <w:rsid w:val="000C6580"/>
    <w:rsid w:val="00391153"/>
    <w:rsid w:val="00A56865"/>
    <w:rsid w:val="00BC1559"/>
    <w:rsid w:val="00BF72A8"/>
    <w:rsid w:val="00CC06B4"/>
    <w:rsid w:val="00DD7816"/>
    <w:rsid w:val="00F82B93"/>
    <w:rsid w:val="00F847AE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DE68-05B5-4CC5-A169-64CA107C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 Wouda</dc:creator>
  <cp:lastModifiedBy>Laura de Adelhart Toorop</cp:lastModifiedBy>
  <cp:revision>2</cp:revision>
  <dcterms:created xsi:type="dcterms:W3CDTF">2022-09-16T13:24:00Z</dcterms:created>
  <dcterms:modified xsi:type="dcterms:W3CDTF">2022-09-16T13:24:00Z</dcterms:modified>
</cp:coreProperties>
</file>